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6872D783">
        <w:tc>
          <w:tcPr>
            <w:tcW w:w="1560" w:type="dxa"/>
            <w:vAlign w:val="center"/>
          </w:tcPr>
          <w:p w14:paraId="0D5A35A8" w14:textId="2527F36E" w:rsidR="0046607B" w:rsidRPr="009404C2" w:rsidRDefault="0046607B" w:rsidP="009404C2">
            <w:pPr>
              <w:jc w:val="center"/>
              <w:rPr>
                <w:b/>
                <w:bCs/>
              </w:rPr>
            </w:pPr>
            <w:bookmarkStart w:id="0" w:name="_Hlk164940051"/>
            <w:r w:rsidRPr="009404C2">
              <w:rPr>
                <w:b/>
                <w:bCs/>
              </w:rPr>
              <w:t>Axe</w:t>
            </w:r>
            <w:r w:rsidR="00B019D6">
              <w:rPr>
                <w:b/>
                <w:bCs/>
              </w:rPr>
              <w:t xml:space="preserve"> </w:t>
            </w:r>
            <w:r w:rsidR="006F2CE2">
              <w:rPr>
                <w:b/>
                <w:bCs/>
              </w:rPr>
              <w:t>4</w:t>
            </w:r>
          </w:p>
        </w:tc>
        <w:tc>
          <w:tcPr>
            <w:tcW w:w="8505" w:type="dxa"/>
          </w:tcPr>
          <w:p w14:paraId="58C92614" w14:textId="0D26FA1D" w:rsidR="0046607B" w:rsidRPr="00E802D6" w:rsidRDefault="00F9270A" w:rsidP="00E802D6">
            <w:pPr>
              <w:autoSpaceDE w:val="0"/>
              <w:autoSpaceDN w:val="0"/>
              <w:adjustRightInd w:val="0"/>
              <w:jc w:val="center"/>
              <w:rPr>
                <w:rFonts w:ascii="CIDFont+F3" w:hAnsi="CIDFont+F3" w:cs="CIDFont+F3"/>
                <w:b/>
                <w:bCs/>
                <w:kern w:val="0"/>
                <w:sz w:val="24"/>
                <w:szCs w:val="24"/>
              </w:rPr>
            </w:pPr>
            <w:r w:rsidRPr="00E802D6">
              <w:rPr>
                <w:rFonts w:ascii="CIDFont+F3" w:hAnsi="CIDFont+F3" w:cs="CIDFont+F3"/>
                <w:b/>
                <w:bCs/>
                <w:kern w:val="0"/>
                <w:sz w:val="24"/>
                <w:szCs w:val="24"/>
              </w:rPr>
              <w:t>Préservation du bon état de santé des abeilles et autres pollinisateurs</w:t>
            </w:r>
          </w:p>
        </w:tc>
      </w:tr>
      <w:tr w:rsidR="0046607B" w14:paraId="3E974957" w14:textId="77777777" w:rsidTr="003C6960">
        <w:trPr>
          <w:trHeight w:val="660"/>
        </w:trPr>
        <w:tc>
          <w:tcPr>
            <w:tcW w:w="1560" w:type="dxa"/>
            <w:vAlign w:val="center"/>
          </w:tcPr>
          <w:p w14:paraId="5A421146" w14:textId="6EA0C1C2" w:rsidR="0046607B" w:rsidRPr="009404C2" w:rsidRDefault="0046607B" w:rsidP="003C6960">
            <w:pPr>
              <w:jc w:val="center"/>
              <w:rPr>
                <w:b/>
                <w:bCs/>
              </w:rPr>
            </w:pPr>
            <w:r w:rsidRPr="009404C2">
              <w:rPr>
                <w:b/>
                <w:bCs/>
              </w:rPr>
              <w:t>Action</w:t>
            </w:r>
            <w:r w:rsidR="00B019D6">
              <w:rPr>
                <w:b/>
                <w:bCs/>
              </w:rPr>
              <w:t xml:space="preserve"> </w:t>
            </w:r>
            <w:r w:rsidR="000562A6">
              <w:rPr>
                <w:b/>
                <w:bCs/>
              </w:rPr>
              <w:t>5</w:t>
            </w:r>
          </w:p>
        </w:tc>
        <w:tc>
          <w:tcPr>
            <w:tcW w:w="8505" w:type="dxa"/>
            <w:vAlign w:val="center"/>
          </w:tcPr>
          <w:p w14:paraId="4039E8ED" w14:textId="439BC209" w:rsidR="000562A6" w:rsidRDefault="000562A6" w:rsidP="003C6960">
            <w:pPr>
              <w:pStyle w:val="Default"/>
              <w:jc w:val="center"/>
              <w:rPr>
                <w:sz w:val="23"/>
                <w:szCs w:val="23"/>
              </w:rPr>
            </w:pPr>
            <w:r w:rsidRPr="000562A6">
              <w:rPr>
                <w:sz w:val="23"/>
                <w:szCs w:val="23"/>
              </w:rPr>
              <w:t>Consolider les conditions de détention des abeilles, de densité et de localisation des colonies en fonction des capacités d’accueil des territoires</w:t>
            </w:r>
          </w:p>
          <w:p w14:paraId="339D8F82" w14:textId="44AA8B13" w:rsidR="0046607B" w:rsidRPr="000562A6" w:rsidRDefault="00E802D6" w:rsidP="003C6960">
            <w:pPr>
              <w:pStyle w:val="Default"/>
              <w:jc w:val="center"/>
              <w:rPr>
                <w:sz w:val="23"/>
                <w:szCs w:val="23"/>
              </w:rPr>
            </w:pPr>
            <w:r>
              <w:rPr>
                <w:sz w:val="23"/>
                <w:szCs w:val="23"/>
              </w:rPr>
              <w:t>- ADA GE -</w:t>
            </w:r>
          </w:p>
        </w:tc>
      </w:tr>
      <w:tr w:rsidR="0046607B" w14:paraId="29833F62" w14:textId="77777777" w:rsidTr="003C6960">
        <w:trPr>
          <w:trHeight w:val="556"/>
        </w:trPr>
        <w:tc>
          <w:tcPr>
            <w:tcW w:w="1560" w:type="dxa"/>
            <w:vAlign w:val="center"/>
          </w:tcPr>
          <w:p w14:paraId="4CE563A6" w14:textId="77777777" w:rsidR="0046607B" w:rsidRPr="009404C2" w:rsidRDefault="0046607B" w:rsidP="003C6960">
            <w:pPr>
              <w:jc w:val="center"/>
              <w:rPr>
                <w:b/>
                <w:bCs/>
              </w:rPr>
            </w:pPr>
            <w:r w:rsidRPr="009404C2">
              <w:rPr>
                <w:b/>
                <w:bCs/>
              </w:rPr>
              <w:t>Priorité</w:t>
            </w:r>
          </w:p>
        </w:tc>
        <w:tc>
          <w:tcPr>
            <w:tcW w:w="8505" w:type="dxa"/>
            <w:vAlign w:val="center"/>
          </w:tcPr>
          <w:p w14:paraId="172CB75E" w14:textId="7FF1F35B" w:rsidR="0046607B" w:rsidRDefault="00820C09" w:rsidP="003C6960">
            <w:r>
              <w:t>2</w:t>
            </w:r>
          </w:p>
        </w:tc>
      </w:tr>
      <w:tr w:rsidR="0046607B" w14:paraId="2D98E5EA" w14:textId="77777777" w:rsidTr="003C6960">
        <w:trPr>
          <w:trHeight w:val="1972"/>
        </w:trPr>
        <w:tc>
          <w:tcPr>
            <w:tcW w:w="1560" w:type="dxa"/>
            <w:vAlign w:val="center"/>
          </w:tcPr>
          <w:p w14:paraId="6920D17E" w14:textId="77777777" w:rsidR="0046607B" w:rsidRPr="009404C2" w:rsidRDefault="0046607B" w:rsidP="003C6960">
            <w:pPr>
              <w:jc w:val="center"/>
              <w:rPr>
                <w:b/>
                <w:bCs/>
              </w:rPr>
            </w:pPr>
            <w:r w:rsidRPr="009404C2">
              <w:rPr>
                <w:b/>
                <w:bCs/>
              </w:rPr>
              <w:t>Objectifs</w:t>
            </w:r>
          </w:p>
        </w:tc>
        <w:tc>
          <w:tcPr>
            <w:tcW w:w="8505" w:type="dxa"/>
            <w:vAlign w:val="center"/>
          </w:tcPr>
          <w:p w14:paraId="10D54B41" w14:textId="080D7DC2" w:rsidR="00522218" w:rsidRDefault="00E802D6" w:rsidP="003C6960">
            <w:pPr>
              <w:pStyle w:val="Paragraphedeliste"/>
              <w:numPr>
                <w:ilvl w:val="0"/>
                <w:numId w:val="11"/>
              </w:numPr>
              <w:jc w:val="both"/>
            </w:pPr>
            <w:r>
              <w:t>Compiler les références scientifiques existantes sur le sujet</w:t>
            </w:r>
            <w:r w:rsidR="00522218">
              <w:t>.</w:t>
            </w:r>
          </w:p>
          <w:p w14:paraId="09D642CB" w14:textId="4C4DAA9E" w:rsidR="004E51E1" w:rsidRDefault="004E51E1" w:rsidP="003C6960">
            <w:pPr>
              <w:pStyle w:val="Paragraphedeliste"/>
              <w:numPr>
                <w:ilvl w:val="0"/>
                <w:numId w:val="11"/>
              </w:numPr>
              <w:jc w:val="both"/>
            </w:pPr>
            <w:r w:rsidRPr="004E51E1">
              <w:t>Mettre en place des outils de mesure du potentiel de pollinisation des territoires en tension entre abeilles domestiques et pollinisateurs sauvages, en particulier pour les espèces en déclin.</w:t>
            </w:r>
          </w:p>
          <w:p w14:paraId="2DEB83E1" w14:textId="4D89A099" w:rsidR="009772EF" w:rsidRDefault="009772EF" w:rsidP="003C6960">
            <w:pPr>
              <w:pStyle w:val="Paragraphedeliste"/>
              <w:numPr>
                <w:ilvl w:val="0"/>
                <w:numId w:val="11"/>
              </w:numPr>
              <w:jc w:val="both"/>
            </w:pPr>
            <w:r>
              <w:t>Répertorier les zones à faible capacité d’accueil des pollinisateurs</w:t>
            </w:r>
            <w:r w:rsidR="00003A43">
              <w:t>.</w:t>
            </w:r>
          </w:p>
          <w:p w14:paraId="37B067CB" w14:textId="77777777" w:rsidR="00B738F3" w:rsidRPr="00AC1928" w:rsidRDefault="00D17AD2" w:rsidP="00B738F3">
            <w:pPr>
              <w:pStyle w:val="Paragraphedeliste"/>
              <w:numPr>
                <w:ilvl w:val="0"/>
                <w:numId w:val="11"/>
              </w:numPr>
              <w:jc w:val="both"/>
            </w:pPr>
            <w:r w:rsidRPr="00AC1928">
              <w:t>Encourager</w:t>
            </w:r>
            <w:r w:rsidR="00E802D6" w:rsidRPr="00AC1928">
              <w:t xml:space="preserve"> l</w:t>
            </w:r>
            <w:r w:rsidR="007B4A3B" w:rsidRPr="00AC1928">
              <w:t>es initiatives permettant</w:t>
            </w:r>
            <w:r w:rsidR="00E802D6" w:rsidRPr="00AC1928">
              <w:t xml:space="preserve"> de palier à </w:t>
            </w:r>
            <w:r w:rsidR="003C6F24" w:rsidRPr="00AC1928">
              <w:t>la</w:t>
            </w:r>
            <w:r w:rsidR="00E802D6" w:rsidRPr="00AC1928">
              <w:t xml:space="preserve"> concurrence entre pollinisateurs sauvage</w:t>
            </w:r>
            <w:r w:rsidR="003C6F24" w:rsidRPr="00AC1928">
              <w:t>s</w:t>
            </w:r>
            <w:r w:rsidR="00E802D6" w:rsidRPr="00AC1928">
              <w:t xml:space="preserve"> et domestiques</w:t>
            </w:r>
            <w:r w:rsidR="00D75CAC" w:rsidRPr="00AC1928">
              <w:t>,</w:t>
            </w:r>
            <w:r w:rsidR="00E10FC7" w:rsidRPr="00AC1928">
              <w:t xml:space="preserve"> selon le contexte du territoire</w:t>
            </w:r>
            <w:r w:rsidR="007B4A3B" w:rsidRPr="00AC1928">
              <w:t xml:space="preserve"> (exemple : augmenter la re</w:t>
            </w:r>
            <w:r w:rsidR="00BE00B3" w:rsidRPr="00AC1928">
              <w:t>ssource mellifère)</w:t>
            </w:r>
            <w:r w:rsidR="00E802D6" w:rsidRPr="00AC1928">
              <w:t>.</w:t>
            </w:r>
            <w:r w:rsidR="00B738F3" w:rsidRPr="00AC1928">
              <w:t xml:space="preserve"> </w:t>
            </w:r>
          </w:p>
          <w:p w14:paraId="469E1730" w14:textId="7FB55DBE" w:rsidR="00601671" w:rsidRPr="00B738F3" w:rsidRDefault="00601671" w:rsidP="006A3212">
            <w:pPr>
              <w:pStyle w:val="Paragraphedeliste"/>
              <w:numPr>
                <w:ilvl w:val="0"/>
                <w:numId w:val="11"/>
              </w:numPr>
              <w:jc w:val="both"/>
            </w:pPr>
            <w:r>
              <w:t xml:space="preserve">Encourager la déclaration des ruches par les apiculteurs sur la densité et la localisation </w:t>
            </w:r>
            <w:r w:rsidR="00596C64">
              <w:t xml:space="preserve">en temps réel </w:t>
            </w:r>
            <w:r>
              <w:t>des colonies</w:t>
            </w:r>
            <w:r w:rsidR="00BA53FF">
              <w:t xml:space="preserve"> en Grand Est.</w:t>
            </w:r>
          </w:p>
          <w:p w14:paraId="51A30232" w14:textId="77777777" w:rsidR="008236A5" w:rsidRDefault="008236A5" w:rsidP="003C6960"/>
          <w:p w14:paraId="60DA310F" w14:textId="3252F8E8" w:rsidR="00DB4BEA" w:rsidRDefault="008236A5" w:rsidP="00991FD6">
            <w:pPr>
              <w:jc w:val="both"/>
            </w:pPr>
            <w:r>
              <w:t xml:space="preserve">Selon </w:t>
            </w:r>
            <w:r w:rsidRPr="008236A5">
              <w:t>les avancées du plan national d’actions</w:t>
            </w:r>
            <w:r>
              <w:t>, des actions concrètes en cohérence avec</w:t>
            </w:r>
            <w:r w:rsidR="00BE05D3">
              <w:t xml:space="preserve"> le national</w:t>
            </w:r>
            <w:r>
              <w:t xml:space="preserve"> pourront être déclinées.</w:t>
            </w:r>
          </w:p>
        </w:tc>
      </w:tr>
      <w:tr w:rsidR="0046607B" w14:paraId="6493FA08" w14:textId="77777777" w:rsidTr="003C6960">
        <w:trPr>
          <w:trHeight w:val="1012"/>
        </w:trPr>
        <w:tc>
          <w:tcPr>
            <w:tcW w:w="1560" w:type="dxa"/>
            <w:vAlign w:val="center"/>
          </w:tcPr>
          <w:p w14:paraId="5DB91733" w14:textId="77777777" w:rsidR="0046607B" w:rsidRPr="009404C2" w:rsidRDefault="0046607B" w:rsidP="003C6960">
            <w:pPr>
              <w:jc w:val="center"/>
              <w:rPr>
                <w:b/>
                <w:bCs/>
              </w:rPr>
            </w:pPr>
            <w:r w:rsidRPr="009404C2">
              <w:rPr>
                <w:b/>
                <w:bCs/>
              </w:rPr>
              <w:t>Calendrier</w:t>
            </w:r>
          </w:p>
        </w:tc>
        <w:tc>
          <w:tcPr>
            <w:tcW w:w="8505" w:type="dxa"/>
            <w:vAlign w:val="center"/>
          </w:tcPr>
          <w:p w14:paraId="20BBED86" w14:textId="5FCF9CCC" w:rsidR="00256022" w:rsidRDefault="00756A71" w:rsidP="003C6960">
            <w:r>
              <w:t>En fonction de l’avancé</w:t>
            </w:r>
            <w:r w:rsidR="00477DDE">
              <w:t>e</w:t>
            </w:r>
            <w:r>
              <w:t xml:space="preserve"> du plan national</w:t>
            </w:r>
            <w:r w:rsidR="00477DDE">
              <w:t>.</w:t>
            </w:r>
          </w:p>
        </w:tc>
      </w:tr>
      <w:tr w:rsidR="0046607B" w14:paraId="0FE7E4B4" w14:textId="77777777" w:rsidTr="003C6960">
        <w:tc>
          <w:tcPr>
            <w:tcW w:w="1560" w:type="dxa"/>
            <w:vAlign w:val="center"/>
          </w:tcPr>
          <w:p w14:paraId="1BEBE245" w14:textId="77777777" w:rsidR="0046607B" w:rsidRPr="009404C2" w:rsidRDefault="0046607B" w:rsidP="003C6960">
            <w:pPr>
              <w:jc w:val="center"/>
              <w:rPr>
                <w:b/>
                <w:bCs/>
              </w:rPr>
            </w:pPr>
            <w:r w:rsidRPr="009404C2">
              <w:rPr>
                <w:b/>
                <w:bCs/>
              </w:rPr>
              <w:t>Contexte</w:t>
            </w:r>
          </w:p>
        </w:tc>
        <w:tc>
          <w:tcPr>
            <w:tcW w:w="8505" w:type="dxa"/>
            <w:vAlign w:val="center"/>
          </w:tcPr>
          <w:p w14:paraId="435430FB" w14:textId="5BAE74A9" w:rsidR="001A2F5B" w:rsidRDefault="6872D783" w:rsidP="003C6960">
            <w:r>
              <w:t>Entre 2017 et 2021, une hausse significative de 47 % des études scientifiques traitant de la rivalité entre abeilles domestiques et pollinisateurs sauvages pour les ressources florales a été observée (ITSAP 2024). Cette problématique soulève des controverses dans certaines zones protégées concernant le risque de compétition lié à l’activité d'apiculture. Bien que la recherche progresse rapidement dans ce domaine, il existe encore peu de travaux proposant des solutions pratiques pour harmoniser les activités apicoles avec la préservation des populations d'abeilles sauvages. Ce manque de recommandations concrètes souligne la nécessité de poursuivre les recherches afin de trouver un équilibre entre ces deux enjeux importants.</w:t>
            </w:r>
          </w:p>
        </w:tc>
      </w:tr>
      <w:tr w:rsidR="0046607B" w14:paraId="2C672376" w14:textId="77777777" w:rsidTr="003C6960">
        <w:tc>
          <w:tcPr>
            <w:tcW w:w="1560" w:type="dxa"/>
            <w:vAlign w:val="center"/>
          </w:tcPr>
          <w:p w14:paraId="4E3D86DC" w14:textId="77777777" w:rsidR="0046607B" w:rsidRPr="009404C2" w:rsidRDefault="0046607B" w:rsidP="003C6960">
            <w:pPr>
              <w:jc w:val="center"/>
              <w:rPr>
                <w:b/>
                <w:bCs/>
              </w:rPr>
            </w:pPr>
            <w:r w:rsidRPr="009404C2">
              <w:rPr>
                <w:b/>
                <w:bCs/>
              </w:rPr>
              <w:t>Description</w:t>
            </w:r>
          </w:p>
        </w:tc>
        <w:tc>
          <w:tcPr>
            <w:tcW w:w="8505" w:type="dxa"/>
            <w:vAlign w:val="center"/>
          </w:tcPr>
          <w:p w14:paraId="5B1D2C20" w14:textId="089E2FC8" w:rsidR="006C7255" w:rsidRDefault="00C81133" w:rsidP="004D7F6B">
            <w:pPr>
              <w:widowControl w:val="0"/>
              <w:spacing w:before="80"/>
              <w:jc w:val="both"/>
            </w:pPr>
            <w:r>
              <w:t xml:space="preserve">L’ITSAP a rédigé un article </w:t>
            </w:r>
            <w:r w:rsidR="00CE7032">
              <w:t xml:space="preserve">à la </w:t>
            </w:r>
            <w:r>
              <w:t>mi-juillet</w:t>
            </w:r>
            <w:r w:rsidR="009107AB">
              <w:t xml:space="preserve"> 2024</w:t>
            </w:r>
            <w:r>
              <w:t xml:space="preserve"> qui résume la situation et </w:t>
            </w:r>
            <w:r w:rsidR="00CE7032">
              <w:t xml:space="preserve">fait un </w:t>
            </w:r>
            <w:r>
              <w:t xml:space="preserve">état des lieux </w:t>
            </w:r>
            <w:r w:rsidR="00CE7032">
              <w:t>sur l</w:t>
            </w:r>
            <w:r>
              <w:t>es études existantes</w:t>
            </w:r>
            <w:r w:rsidR="00CE7032">
              <w:t> :</w:t>
            </w:r>
            <w:r w:rsidR="002075F1">
              <w:t xml:space="preserve"> </w:t>
            </w:r>
            <w:r>
              <w:t xml:space="preserve">les résultats de </w:t>
            </w:r>
            <w:r w:rsidR="00B429A8">
              <w:t>leurs études</w:t>
            </w:r>
            <w:r>
              <w:t xml:space="preserve"> </w:t>
            </w:r>
            <w:r w:rsidR="002075F1">
              <w:t>viennent</w:t>
            </w:r>
            <w:r>
              <w:t xml:space="preserve"> d’être publié</w:t>
            </w:r>
            <w:r w:rsidR="002075F1">
              <w:t>s</w:t>
            </w:r>
            <w:r>
              <w:t xml:space="preserve">. Ce sujet devrait être étroitement lié à l’axe 1 sur la recherche et l’axe 6 sur l’augmentation des ressources mellifères : </w:t>
            </w:r>
            <w:hyperlink r:id="rId7" w:history="1">
              <w:r w:rsidRPr="00BE0D7E">
                <w:rPr>
                  <w:rStyle w:val="Lienhypertexte"/>
                </w:rPr>
                <w:t>https://itsap.asso.fr/articles/partage-des-ressources-florales-entre-abeilles</w:t>
              </w:r>
            </w:hyperlink>
          </w:p>
          <w:p w14:paraId="263922D8" w14:textId="51E65E48" w:rsidR="00C81133" w:rsidRPr="00C81133" w:rsidRDefault="00C81133" w:rsidP="004D7F6B">
            <w:pPr>
              <w:widowControl w:val="0"/>
              <w:spacing w:before="80"/>
              <w:jc w:val="both"/>
              <w:rPr>
                <w:i/>
                <w:iCs/>
              </w:rPr>
            </w:pPr>
            <w:r w:rsidRPr="00C81133">
              <w:rPr>
                <w:i/>
                <w:iCs/>
              </w:rPr>
              <w:t xml:space="preserve">« Cette compétition s’inscrit dans un contexte de déclin des insectes, et des abeilles en particulier, déjà bien étayé, dont les principales causes identifiées sont l'utilisation de pesticides, la destruction des habitats et le réchauffement climatique. Les études récentes suggèrent cependant qu’un phénomène de compétition induit par l’apiculture pourrait affecter le succès reproducteur des abeilles sauvages. Cela pourrait constituer une nouvelle menace pour ces dernières, mais également pour </w:t>
            </w:r>
            <w:r w:rsidR="00DE6668" w:rsidRPr="00C81133">
              <w:rPr>
                <w:i/>
                <w:iCs/>
              </w:rPr>
              <w:t>les</w:t>
            </w:r>
            <w:r w:rsidR="00DE6668">
              <w:rPr>
                <w:i/>
                <w:iCs/>
              </w:rPr>
              <w:t xml:space="preserve"> </w:t>
            </w:r>
            <w:proofErr w:type="spellStart"/>
            <w:r w:rsidR="00DE6668" w:rsidRPr="00C81133">
              <w:rPr>
                <w:i/>
                <w:iCs/>
              </w:rPr>
              <w:t>apiculteurs</w:t>
            </w:r>
            <w:r w:rsidRPr="00C81133">
              <w:rPr>
                <w:i/>
                <w:iCs/>
              </w:rPr>
              <w:t>·rices</w:t>
            </w:r>
            <w:proofErr w:type="spellEnd"/>
            <w:r w:rsidR="005D6B55">
              <w:rPr>
                <w:i/>
                <w:iCs/>
              </w:rPr>
              <w:t xml:space="preserve">, </w:t>
            </w:r>
            <w:r w:rsidRPr="00C81133">
              <w:rPr>
                <w:i/>
                <w:iCs/>
              </w:rPr>
              <w:t>dont le maintien de l’activité pose question dans les aires protégées lorsque la compétition entre les abeilles domestiques et les abeilles sauvages est documenté</w:t>
            </w:r>
            <w:r w:rsidR="005D6B55">
              <w:rPr>
                <w:i/>
                <w:iCs/>
              </w:rPr>
              <w:t>e</w:t>
            </w:r>
            <w:r w:rsidRPr="00C81133">
              <w:rPr>
                <w:i/>
                <w:iCs/>
              </w:rPr>
              <w:t>. »</w:t>
            </w:r>
          </w:p>
          <w:p w14:paraId="3D089230" w14:textId="379BB6E4" w:rsidR="00C81133" w:rsidRDefault="6872D783" w:rsidP="004D7F6B">
            <w:pPr>
              <w:widowControl w:val="0"/>
              <w:spacing w:before="80"/>
              <w:jc w:val="both"/>
            </w:pPr>
            <w:r>
              <w:t>Le risque plus ou moins élevé de compétition, dans des zones étudiées pour certaines ressources et dans certains contextes climatiques montre la complexité du sujet et l’importance de ne pas tirer de conclusions trop hâtives. La présence d’une concurrence seule n’apporte pas d’information sur la survie ou la reproduction des abeilles : pour déterminer le degré d’impact sur leurs populations, des recherches complémentaires sont nécessaires.</w:t>
            </w:r>
          </w:p>
          <w:p w14:paraId="10E14029" w14:textId="5AB92FBF" w:rsidR="00C81133" w:rsidRDefault="00C81133" w:rsidP="004D7F6B">
            <w:pPr>
              <w:widowControl w:val="0"/>
              <w:spacing w:before="80"/>
              <w:jc w:val="both"/>
            </w:pPr>
            <w:r>
              <w:t>Il est important</w:t>
            </w:r>
            <w:r w:rsidR="00A101A6">
              <w:t>,</w:t>
            </w:r>
            <w:r>
              <w:t xml:space="preserve"> sur le long terme, d’impliquer les apiculteurs dans les discussions autour de la concurrence et du partage du territoire</w:t>
            </w:r>
            <w:r w:rsidR="00A101A6">
              <w:t>,</w:t>
            </w:r>
            <w:r>
              <w:t xml:space="preserve"> et de trouver </w:t>
            </w:r>
            <w:r w:rsidR="00003E1E">
              <w:t xml:space="preserve">des </w:t>
            </w:r>
            <w:r w:rsidRPr="00C81133">
              <w:t xml:space="preserve">solutions dites « inclusives », avec des pratiques apicoles responsables et durables, associées à des </w:t>
            </w:r>
            <w:r w:rsidRPr="00C81133">
              <w:lastRenderedPageBreak/>
              <w:t>efforts visant à promouvoir la restauration d’habitats naturels qui profitent à tou</w:t>
            </w:r>
            <w:r>
              <w:t>s les pollinisateurs</w:t>
            </w:r>
            <w:r w:rsidR="00370174">
              <w:t>.</w:t>
            </w:r>
          </w:p>
        </w:tc>
      </w:tr>
      <w:tr w:rsidR="0046607B" w14:paraId="31A64B77" w14:textId="77777777" w:rsidTr="003C6960">
        <w:trPr>
          <w:trHeight w:val="878"/>
        </w:trPr>
        <w:tc>
          <w:tcPr>
            <w:tcW w:w="1560" w:type="dxa"/>
            <w:vAlign w:val="center"/>
          </w:tcPr>
          <w:p w14:paraId="0BC8330C" w14:textId="77777777" w:rsidR="0046607B" w:rsidRPr="009404C2" w:rsidRDefault="0046607B" w:rsidP="003C6960">
            <w:pPr>
              <w:jc w:val="center"/>
              <w:rPr>
                <w:b/>
                <w:bCs/>
              </w:rPr>
            </w:pPr>
            <w:r w:rsidRPr="009404C2">
              <w:rPr>
                <w:b/>
                <w:bCs/>
              </w:rPr>
              <w:lastRenderedPageBreak/>
              <w:t>Action(s) associée(s)</w:t>
            </w:r>
          </w:p>
        </w:tc>
        <w:tc>
          <w:tcPr>
            <w:tcW w:w="8505" w:type="dxa"/>
            <w:vAlign w:val="center"/>
          </w:tcPr>
          <w:p w14:paraId="4C2F3E70" w14:textId="18407E42" w:rsidR="008D09AA" w:rsidRDefault="00370174" w:rsidP="003C6960">
            <w:r>
              <w:t xml:space="preserve">Axe 1 – Action 2 </w:t>
            </w:r>
            <w:r w:rsidR="00A101A6">
              <w:t>et 3</w:t>
            </w:r>
          </w:p>
          <w:p w14:paraId="5D20DB6C" w14:textId="31C056D8" w:rsidR="00370174" w:rsidRDefault="00370174" w:rsidP="003C6960">
            <w:r>
              <w:t>A</w:t>
            </w:r>
            <w:r w:rsidR="004C555F">
              <w:t>x</w:t>
            </w:r>
            <w:r>
              <w:t xml:space="preserve">e 3 – Action </w:t>
            </w:r>
            <w:r w:rsidR="00A101A6">
              <w:t>1</w:t>
            </w:r>
            <w:r w:rsidR="004C555F">
              <w:t>.</w:t>
            </w:r>
            <w:r w:rsidR="002944D7">
              <w:t>a et 1.b</w:t>
            </w:r>
          </w:p>
          <w:p w14:paraId="1A5B0A49" w14:textId="7A60258A" w:rsidR="00A101A6" w:rsidRDefault="00A101A6" w:rsidP="003C6960">
            <w:r>
              <w:t>Axe 6</w:t>
            </w:r>
            <w:r w:rsidR="005C45FF">
              <w:t xml:space="preserve"> – Actions 2 et 3</w:t>
            </w:r>
          </w:p>
        </w:tc>
      </w:tr>
      <w:tr w:rsidR="0046607B" w14:paraId="1A7A76D2" w14:textId="77777777" w:rsidTr="003C6960">
        <w:tc>
          <w:tcPr>
            <w:tcW w:w="1560" w:type="dxa"/>
            <w:vAlign w:val="center"/>
          </w:tcPr>
          <w:p w14:paraId="53A9EFDE" w14:textId="77777777" w:rsidR="0046607B" w:rsidRPr="009404C2" w:rsidRDefault="0046607B" w:rsidP="003C6960">
            <w:pPr>
              <w:jc w:val="center"/>
              <w:rPr>
                <w:b/>
                <w:bCs/>
              </w:rPr>
            </w:pPr>
            <w:r w:rsidRPr="009404C2">
              <w:rPr>
                <w:b/>
                <w:bCs/>
              </w:rPr>
              <w:t>Indicateurs de résultats</w:t>
            </w:r>
          </w:p>
        </w:tc>
        <w:tc>
          <w:tcPr>
            <w:tcW w:w="8505" w:type="dxa"/>
            <w:vAlign w:val="center"/>
          </w:tcPr>
          <w:p w14:paraId="126CA1A0" w14:textId="2C5A1C6C" w:rsidR="0046607B" w:rsidRDefault="004C555F" w:rsidP="003C6960">
            <w:r>
              <w:t>Nombre d’apiculteur</w:t>
            </w:r>
            <w:r w:rsidR="0032047A">
              <w:t>s</w:t>
            </w:r>
            <w:r>
              <w:t xml:space="preserve"> impliqué</w:t>
            </w:r>
            <w:r w:rsidR="0032047A">
              <w:t>s dans les discussions autour de la concurrence et du partage du territoire, …</w:t>
            </w:r>
          </w:p>
          <w:p w14:paraId="6C4AA6DB" w14:textId="091452B5" w:rsidR="0025431D" w:rsidRPr="00245C2A" w:rsidRDefault="0025431D" w:rsidP="003C6960">
            <w:pPr>
              <w:rPr>
                <w:color w:val="000000" w:themeColor="text1"/>
              </w:rPr>
            </w:pPr>
            <w:r w:rsidRPr="00245C2A">
              <w:rPr>
                <w:color w:val="000000" w:themeColor="text1"/>
              </w:rPr>
              <w:t>Création/Actualisation d’indices permettant d’évaluer le degré de compétition entre abeilles domestiques et pollinisateurs sauvages = outil permettant d’estimer le potentiel de ressources florales</w:t>
            </w:r>
          </w:p>
          <w:p w14:paraId="4B0BB062" w14:textId="19E04EBC" w:rsidR="009404C2" w:rsidRDefault="00953F27" w:rsidP="003C6960">
            <w:r w:rsidRPr="00245C2A">
              <w:rPr>
                <w:color w:val="000000" w:themeColor="text1"/>
              </w:rPr>
              <w:t>Création/Attribution d’un indicateur de consommation florale en fonction du nombre de ruches disposé</w:t>
            </w:r>
            <w:r w:rsidR="002D7D43" w:rsidRPr="00245C2A">
              <w:rPr>
                <w:color w:val="000000" w:themeColor="text1"/>
              </w:rPr>
              <w:t>e</w:t>
            </w:r>
            <w:r w:rsidRPr="00245C2A">
              <w:rPr>
                <w:color w:val="000000" w:themeColor="text1"/>
              </w:rPr>
              <w:t>s dans une zone avec un potentiel floral donné</w:t>
            </w:r>
          </w:p>
        </w:tc>
      </w:tr>
      <w:tr w:rsidR="0046607B" w14:paraId="7A25EBB5" w14:textId="77777777" w:rsidTr="003C6960">
        <w:tc>
          <w:tcPr>
            <w:tcW w:w="1560" w:type="dxa"/>
            <w:vAlign w:val="center"/>
          </w:tcPr>
          <w:p w14:paraId="672D1A3F" w14:textId="77777777" w:rsidR="0046607B" w:rsidRPr="009404C2" w:rsidRDefault="0046607B" w:rsidP="003C6960">
            <w:pPr>
              <w:jc w:val="center"/>
              <w:rPr>
                <w:b/>
                <w:bCs/>
              </w:rPr>
            </w:pPr>
            <w:r w:rsidRPr="009404C2">
              <w:rPr>
                <w:b/>
                <w:bCs/>
              </w:rPr>
              <w:t>Echelle(s) de travail</w:t>
            </w:r>
          </w:p>
        </w:tc>
        <w:tc>
          <w:tcPr>
            <w:tcW w:w="8505" w:type="dxa"/>
            <w:vAlign w:val="center"/>
          </w:tcPr>
          <w:p w14:paraId="4854D96C" w14:textId="1B0B95C6" w:rsidR="009404C2" w:rsidRDefault="00A101A6" w:rsidP="003C6960">
            <w:r>
              <w:t>Grand Est</w:t>
            </w:r>
          </w:p>
        </w:tc>
      </w:tr>
      <w:tr w:rsidR="0046607B" w14:paraId="14536EE1" w14:textId="77777777" w:rsidTr="003C6960">
        <w:tc>
          <w:tcPr>
            <w:tcW w:w="1560" w:type="dxa"/>
            <w:vAlign w:val="center"/>
          </w:tcPr>
          <w:p w14:paraId="1BD0790A" w14:textId="77777777" w:rsidR="0046607B" w:rsidRPr="009404C2" w:rsidRDefault="0046607B" w:rsidP="003C6960">
            <w:pPr>
              <w:jc w:val="center"/>
              <w:rPr>
                <w:b/>
                <w:bCs/>
              </w:rPr>
            </w:pPr>
            <w:r w:rsidRPr="009404C2">
              <w:rPr>
                <w:b/>
                <w:bCs/>
              </w:rPr>
              <w:t>Evaluation financière</w:t>
            </w:r>
          </w:p>
        </w:tc>
        <w:tc>
          <w:tcPr>
            <w:tcW w:w="8505" w:type="dxa"/>
            <w:vAlign w:val="center"/>
          </w:tcPr>
          <w:p w14:paraId="1712940E" w14:textId="77777777" w:rsidR="00941FEB" w:rsidRDefault="00C81133" w:rsidP="003C6960">
            <w:r>
              <w:t xml:space="preserve">En attente </w:t>
            </w:r>
            <w:r w:rsidR="005C45FF">
              <w:t>des données de la DGAL</w:t>
            </w:r>
          </w:p>
          <w:p w14:paraId="27C038E5" w14:textId="366D3571" w:rsidR="00FA777F" w:rsidRDefault="002F499F" w:rsidP="003C6960">
            <w:r>
              <w:t>(Financement d’une thèse ?)</w:t>
            </w:r>
          </w:p>
        </w:tc>
      </w:tr>
      <w:tr w:rsidR="00DD6013" w14:paraId="6294C436" w14:textId="77777777" w:rsidTr="003C6960">
        <w:tc>
          <w:tcPr>
            <w:tcW w:w="1560" w:type="dxa"/>
            <w:vAlign w:val="center"/>
          </w:tcPr>
          <w:p w14:paraId="5FD15E5D" w14:textId="77777777" w:rsidR="00DD6013" w:rsidRPr="009404C2" w:rsidRDefault="00DD6013" w:rsidP="003C6960">
            <w:pPr>
              <w:jc w:val="center"/>
              <w:rPr>
                <w:b/>
                <w:bCs/>
              </w:rPr>
            </w:pPr>
            <w:r w:rsidRPr="009404C2">
              <w:rPr>
                <w:b/>
                <w:bCs/>
              </w:rPr>
              <w:t>Pilote(s) de l’action</w:t>
            </w:r>
          </w:p>
        </w:tc>
        <w:tc>
          <w:tcPr>
            <w:tcW w:w="8505" w:type="dxa"/>
            <w:vAlign w:val="center"/>
          </w:tcPr>
          <w:p w14:paraId="7E1E1190" w14:textId="7A0C52C0" w:rsidR="00DD6013" w:rsidRDefault="00020DBD" w:rsidP="003C6960">
            <w:r>
              <w:t>En cours de recherche</w:t>
            </w:r>
          </w:p>
        </w:tc>
      </w:tr>
      <w:tr w:rsidR="00DD6013" w14:paraId="0F11D460" w14:textId="77777777" w:rsidTr="003C6960">
        <w:trPr>
          <w:trHeight w:val="325"/>
        </w:trPr>
        <w:tc>
          <w:tcPr>
            <w:tcW w:w="1560" w:type="dxa"/>
            <w:vAlign w:val="center"/>
          </w:tcPr>
          <w:p w14:paraId="0038320C" w14:textId="77777777" w:rsidR="00DD6013" w:rsidRPr="009404C2" w:rsidRDefault="00DD6013" w:rsidP="003C6960">
            <w:pPr>
              <w:jc w:val="center"/>
              <w:rPr>
                <w:b/>
                <w:bCs/>
              </w:rPr>
            </w:pPr>
            <w:r w:rsidRPr="009404C2">
              <w:rPr>
                <w:b/>
                <w:bCs/>
              </w:rPr>
              <w:t>Partenaires potentiels</w:t>
            </w:r>
          </w:p>
        </w:tc>
        <w:tc>
          <w:tcPr>
            <w:tcW w:w="8505" w:type="dxa"/>
            <w:vAlign w:val="center"/>
          </w:tcPr>
          <w:p w14:paraId="06E4B574" w14:textId="520D911B" w:rsidR="00DD6013" w:rsidRDefault="00DD6013" w:rsidP="003C6960">
            <w:r w:rsidRPr="005B1B30">
              <w:t>Les instituts de recherche</w:t>
            </w:r>
            <w:r>
              <w:t xml:space="preserve"> (INRAE, ITSAP, ANSES)</w:t>
            </w:r>
            <w:r w:rsidR="005527FE">
              <w:t>, associations</w:t>
            </w:r>
            <w:r w:rsidR="00A101A6">
              <w:t xml:space="preserve"> naturalistes</w:t>
            </w:r>
            <w:r w:rsidR="005527FE">
              <w:t>, association</w:t>
            </w:r>
            <w:r w:rsidR="00351699">
              <w:t>s</w:t>
            </w:r>
            <w:r w:rsidR="005527FE">
              <w:t xml:space="preserve"> apicole</w:t>
            </w:r>
            <w:r w:rsidR="00A101A6">
              <w:t xml:space="preserve">s, </w:t>
            </w:r>
            <w:proofErr w:type="spellStart"/>
            <w:r w:rsidR="00A101A6">
              <w:t>CENs</w:t>
            </w:r>
            <w:proofErr w:type="spellEnd"/>
            <w:r w:rsidR="005527FE">
              <w:t>.</w:t>
            </w:r>
          </w:p>
        </w:tc>
      </w:tr>
      <w:bookmarkEnd w:id="0"/>
    </w:tbl>
    <w:p w14:paraId="3D58B185" w14:textId="77777777" w:rsidR="00F805B9" w:rsidRDefault="00F805B9" w:rsidP="009404C2"/>
    <w:p w14:paraId="7243B151" w14:textId="77777777" w:rsidR="006C7255" w:rsidRDefault="006C7255" w:rsidP="009404C2"/>
    <w:p w14:paraId="380547E8" w14:textId="77777777" w:rsidR="006C7255" w:rsidRDefault="006C7255" w:rsidP="009404C2"/>
    <w:p w14:paraId="164E46BE" w14:textId="77777777" w:rsidR="00F95E51" w:rsidRDefault="00F95E51" w:rsidP="009404C2"/>
    <w:p w14:paraId="1DD6C5A1" w14:textId="77777777" w:rsidR="00F95E51" w:rsidRDefault="00F95E51" w:rsidP="009404C2"/>
    <w:p w14:paraId="6A3AA3C4" w14:textId="77777777" w:rsidR="00F95E51" w:rsidRDefault="00F95E51" w:rsidP="009404C2"/>
    <w:p w14:paraId="116C576F" w14:textId="77777777" w:rsidR="00F95E51" w:rsidRDefault="00F95E51" w:rsidP="009404C2"/>
    <w:p w14:paraId="6246DF72" w14:textId="77777777" w:rsidR="00F95E51" w:rsidRDefault="00F95E51" w:rsidP="009404C2"/>
    <w:sectPr w:rsidR="00F95E51" w:rsidSect="00347F11">
      <w:pgSz w:w="11906" w:h="16838"/>
      <w:pgMar w:top="1417"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CD236" w14:textId="77777777" w:rsidR="003C1EFF" w:rsidRDefault="003C1EFF" w:rsidP="00347F11">
      <w:pPr>
        <w:spacing w:after="0" w:line="240" w:lineRule="auto"/>
      </w:pPr>
      <w:r>
        <w:separator/>
      </w:r>
    </w:p>
  </w:endnote>
  <w:endnote w:type="continuationSeparator" w:id="0">
    <w:p w14:paraId="3A9410AD" w14:textId="77777777" w:rsidR="003C1EFF" w:rsidRDefault="003C1EFF" w:rsidP="00347F11">
      <w:pPr>
        <w:spacing w:after="0" w:line="240" w:lineRule="auto"/>
      </w:pPr>
      <w:r>
        <w:continuationSeparator/>
      </w:r>
    </w:p>
  </w:endnote>
  <w:endnote w:type="continuationNotice" w:id="1">
    <w:p w14:paraId="78F3A11F" w14:textId="77777777" w:rsidR="003C1EFF" w:rsidRDefault="003C1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CC7D7" w14:textId="77777777" w:rsidR="003C1EFF" w:rsidRDefault="003C1EFF" w:rsidP="00347F11">
      <w:pPr>
        <w:spacing w:after="0" w:line="240" w:lineRule="auto"/>
      </w:pPr>
      <w:r>
        <w:separator/>
      </w:r>
    </w:p>
  </w:footnote>
  <w:footnote w:type="continuationSeparator" w:id="0">
    <w:p w14:paraId="7056700D" w14:textId="77777777" w:rsidR="003C1EFF" w:rsidRDefault="003C1EFF" w:rsidP="00347F11">
      <w:pPr>
        <w:spacing w:after="0" w:line="240" w:lineRule="auto"/>
      </w:pPr>
      <w:r>
        <w:continuationSeparator/>
      </w:r>
    </w:p>
  </w:footnote>
  <w:footnote w:type="continuationNotice" w:id="1">
    <w:p w14:paraId="3B3519FD" w14:textId="77777777" w:rsidR="003C1EFF" w:rsidRDefault="003C1E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179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7990192"/>
    <w:multiLevelType w:val="hybridMultilevel"/>
    <w:tmpl w:val="637AD5F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49A6BF7"/>
    <w:multiLevelType w:val="hybridMultilevel"/>
    <w:tmpl w:val="97DC6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5C0382"/>
    <w:multiLevelType w:val="multilevel"/>
    <w:tmpl w:val="829AC5C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28BE3570"/>
    <w:multiLevelType w:val="multilevel"/>
    <w:tmpl w:val="B540FB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B147D5"/>
    <w:multiLevelType w:val="multilevel"/>
    <w:tmpl w:val="FCBC78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47F36C40"/>
    <w:multiLevelType w:val="multilevel"/>
    <w:tmpl w:val="5F5A5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1753FC6"/>
    <w:multiLevelType w:val="hybridMultilevel"/>
    <w:tmpl w:val="C4241C80"/>
    <w:lvl w:ilvl="0" w:tplc="F9D61726">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613455AF"/>
    <w:multiLevelType w:val="hybridMultilevel"/>
    <w:tmpl w:val="7E446872"/>
    <w:lvl w:ilvl="0" w:tplc="B2FC16D0">
      <w:start w:val="1000"/>
      <w:numFmt w:val="bullet"/>
      <w:lvlText w:val="-"/>
      <w:lvlJc w:val="left"/>
      <w:pPr>
        <w:ind w:left="904" w:hanging="360"/>
      </w:pPr>
      <w:rPr>
        <w:rFonts w:ascii="Aptos" w:eastAsiaTheme="minorHAnsi" w:hAnsi="Aptos" w:cstheme="minorBidi" w:hint="default"/>
      </w:rPr>
    </w:lvl>
    <w:lvl w:ilvl="1" w:tplc="040C0003" w:tentative="1">
      <w:start w:val="1"/>
      <w:numFmt w:val="bullet"/>
      <w:lvlText w:val="o"/>
      <w:lvlJc w:val="left"/>
      <w:pPr>
        <w:ind w:left="1624" w:hanging="360"/>
      </w:pPr>
      <w:rPr>
        <w:rFonts w:ascii="Courier New" w:hAnsi="Courier New" w:cs="Courier New" w:hint="default"/>
      </w:rPr>
    </w:lvl>
    <w:lvl w:ilvl="2" w:tplc="040C0005" w:tentative="1">
      <w:start w:val="1"/>
      <w:numFmt w:val="bullet"/>
      <w:lvlText w:val=""/>
      <w:lvlJc w:val="left"/>
      <w:pPr>
        <w:ind w:left="2344" w:hanging="360"/>
      </w:pPr>
      <w:rPr>
        <w:rFonts w:ascii="Wingdings" w:hAnsi="Wingdings" w:hint="default"/>
      </w:rPr>
    </w:lvl>
    <w:lvl w:ilvl="3" w:tplc="040C0001" w:tentative="1">
      <w:start w:val="1"/>
      <w:numFmt w:val="bullet"/>
      <w:lvlText w:val=""/>
      <w:lvlJc w:val="left"/>
      <w:pPr>
        <w:ind w:left="3064" w:hanging="360"/>
      </w:pPr>
      <w:rPr>
        <w:rFonts w:ascii="Symbol" w:hAnsi="Symbol" w:hint="default"/>
      </w:rPr>
    </w:lvl>
    <w:lvl w:ilvl="4" w:tplc="040C0003" w:tentative="1">
      <w:start w:val="1"/>
      <w:numFmt w:val="bullet"/>
      <w:lvlText w:val="o"/>
      <w:lvlJc w:val="left"/>
      <w:pPr>
        <w:ind w:left="3784" w:hanging="360"/>
      </w:pPr>
      <w:rPr>
        <w:rFonts w:ascii="Courier New" w:hAnsi="Courier New" w:cs="Courier New" w:hint="default"/>
      </w:rPr>
    </w:lvl>
    <w:lvl w:ilvl="5" w:tplc="040C0005" w:tentative="1">
      <w:start w:val="1"/>
      <w:numFmt w:val="bullet"/>
      <w:lvlText w:val=""/>
      <w:lvlJc w:val="left"/>
      <w:pPr>
        <w:ind w:left="4504" w:hanging="360"/>
      </w:pPr>
      <w:rPr>
        <w:rFonts w:ascii="Wingdings" w:hAnsi="Wingdings" w:hint="default"/>
      </w:rPr>
    </w:lvl>
    <w:lvl w:ilvl="6" w:tplc="040C0001" w:tentative="1">
      <w:start w:val="1"/>
      <w:numFmt w:val="bullet"/>
      <w:lvlText w:val=""/>
      <w:lvlJc w:val="left"/>
      <w:pPr>
        <w:ind w:left="5224" w:hanging="360"/>
      </w:pPr>
      <w:rPr>
        <w:rFonts w:ascii="Symbol" w:hAnsi="Symbol" w:hint="default"/>
      </w:rPr>
    </w:lvl>
    <w:lvl w:ilvl="7" w:tplc="040C0003" w:tentative="1">
      <w:start w:val="1"/>
      <w:numFmt w:val="bullet"/>
      <w:lvlText w:val="o"/>
      <w:lvlJc w:val="left"/>
      <w:pPr>
        <w:ind w:left="5944" w:hanging="360"/>
      </w:pPr>
      <w:rPr>
        <w:rFonts w:ascii="Courier New" w:hAnsi="Courier New" w:cs="Courier New" w:hint="default"/>
      </w:rPr>
    </w:lvl>
    <w:lvl w:ilvl="8" w:tplc="040C0005" w:tentative="1">
      <w:start w:val="1"/>
      <w:numFmt w:val="bullet"/>
      <w:lvlText w:val=""/>
      <w:lvlJc w:val="left"/>
      <w:pPr>
        <w:ind w:left="6664" w:hanging="360"/>
      </w:pPr>
      <w:rPr>
        <w:rFonts w:ascii="Wingdings" w:hAnsi="Wingdings" w:hint="default"/>
      </w:rPr>
    </w:lvl>
  </w:abstractNum>
  <w:abstractNum w:abstractNumId="10" w15:restartNumberingAfterBreak="0">
    <w:nsid w:val="6C3579EC"/>
    <w:multiLevelType w:val="multilevel"/>
    <w:tmpl w:val="665C57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1333951885">
    <w:abstractNumId w:val="5"/>
  </w:num>
  <w:num w:numId="2" w16cid:durableId="1826315639">
    <w:abstractNumId w:val="7"/>
  </w:num>
  <w:num w:numId="3" w16cid:durableId="48723964">
    <w:abstractNumId w:val="2"/>
  </w:num>
  <w:num w:numId="4" w16cid:durableId="1755937534">
    <w:abstractNumId w:val="3"/>
  </w:num>
  <w:num w:numId="5" w16cid:durableId="2054966032">
    <w:abstractNumId w:val="6"/>
  </w:num>
  <w:num w:numId="6" w16cid:durableId="692193771">
    <w:abstractNumId w:val="10"/>
  </w:num>
  <w:num w:numId="7" w16cid:durableId="2056268359">
    <w:abstractNumId w:val="4"/>
  </w:num>
  <w:num w:numId="8" w16cid:durableId="579606147">
    <w:abstractNumId w:val="8"/>
  </w:num>
  <w:num w:numId="9" w16cid:durableId="1037781035">
    <w:abstractNumId w:val="9"/>
  </w:num>
  <w:num w:numId="10" w16cid:durableId="1783306078">
    <w:abstractNumId w:val="0"/>
  </w:num>
  <w:num w:numId="11" w16cid:durableId="199474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03A43"/>
    <w:rsid w:val="00003E1E"/>
    <w:rsid w:val="00020DBD"/>
    <w:rsid w:val="000562A6"/>
    <w:rsid w:val="00077EC7"/>
    <w:rsid w:val="0008621F"/>
    <w:rsid w:val="000A44C8"/>
    <w:rsid w:val="000C036B"/>
    <w:rsid w:val="000C764F"/>
    <w:rsid w:val="000E68ED"/>
    <w:rsid w:val="000E6E25"/>
    <w:rsid w:val="000F7858"/>
    <w:rsid w:val="00105F71"/>
    <w:rsid w:val="00111B19"/>
    <w:rsid w:val="00132F6D"/>
    <w:rsid w:val="00163969"/>
    <w:rsid w:val="00185D28"/>
    <w:rsid w:val="0019086A"/>
    <w:rsid w:val="001A2F5B"/>
    <w:rsid w:val="001B1B45"/>
    <w:rsid w:val="001D0F21"/>
    <w:rsid w:val="001F71EA"/>
    <w:rsid w:val="002075F1"/>
    <w:rsid w:val="00237BEA"/>
    <w:rsid w:val="00245C2A"/>
    <w:rsid w:val="0025431D"/>
    <w:rsid w:val="00256022"/>
    <w:rsid w:val="002742D5"/>
    <w:rsid w:val="002944D7"/>
    <w:rsid w:val="002B080C"/>
    <w:rsid w:val="002C31CA"/>
    <w:rsid w:val="002D7D43"/>
    <w:rsid w:val="002E0BA5"/>
    <w:rsid w:val="002F0914"/>
    <w:rsid w:val="002F499F"/>
    <w:rsid w:val="0032047A"/>
    <w:rsid w:val="00320D5C"/>
    <w:rsid w:val="00347F11"/>
    <w:rsid w:val="00351699"/>
    <w:rsid w:val="00370174"/>
    <w:rsid w:val="003A0775"/>
    <w:rsid w:val="003C1EFF"/>
    <w:rsid w:val="003C6960"/>
    <w:rsid w:val="003C6F24"/>
    <w:rsid w:val="003F601E"/>
    <w:rsid w:val="00415944"/>
    <w:rsid w:val="00430FE5"/>
    <w:rsid w:val="00435649"/>
    <w:rsid w:val="0045743C"/>
    <w:rsid w:val="0046607B"/>
    <w:rsid w:val="00477DDE"/>
    <w:rsid w:val="00492E45"/>
    <w:rsid w:val="004B4464"/>
    <w:rsid w:val="004B4B6D"/>
    <w:rsid w:val="004C0C5C"/>
    <w:rsid w:val="004C555F"/>
    <w:rsid w:val="004D7F6B"/>
    <w:rsid w:val="004E51E1"/>
    <w:rsid w:val="005135B5"/>
    <w:rsid w:val="00513AF5"/>
    <w:rsid w:val="00514BC1"/>
    <w:rsid w:val="00522218"/>
    <w:rsid w:val="005527FE"/>
    <w:rsid w:val="00586924"/>
    <w:rsid w:val="0058795A"/>
    <w:rsid w:val="00596C64"/>
    <w:rsid w:val="005B1B30"/>
    <w:rsid w:val="005C45FF"/>
    <w:rsid w:val="005D6B55"/>
    <w:rsid w:val="00601671"/>
    <w:rsid w:val="00611CA4"/>
    <w:rsid w:val="006460ED"/>
    <w:rsid w:val="00673233"/>
    <w:rsid w:val="00695032"/>
    <w:rsid w:val="006A3212"/>
    <w:rsid w:val="006C0238"/>
    <w:rsid w:val="006C7255"/>
    <w:rsid w:val="006D2B2A"/>
    <w:rsid w:val="006F2CE2"/>
    <w:rsid w:val="006F6508"/>
    <w:rsid w:val="00733E8F"/>
    <w:rsid w:val="00743B24"/>
    <w:rsid w:val="00756A71"/>
    <w:rsid w:val="00797518"/>
    <w:rsid w:val="007A76A1"/>
    <w:rsid w:val="007B4A3B"/>
    <w:rsid w:val="007B75BC"/>
    <w:rsid w:val="007D012A"/>
    <w:rsid w:val="007E1BAA"/>
    <w:rsid w:val="00820C09"/>
    <w:rsid w:val="008236A5"/>
    <w:rsid w:val="00847CE8"/>
    <w:rsid w:val="008C507B"/>
    <w:rsid w:val="008D09AA"/>
    <w:rsid w:val="008E2BE3"/>
    <w:rsid w:val="008F287D"/>
    <w:rsid w:val="009107AB"/>
    <w:rsid w:val="00933B85"/>
    <w:rsid w:val="009404C2"/>
    <w:rsid w:val="00941FEB"/>
    <w:rsid w:val="009443D7"/>
    <w:rsid w:val="00953F27"/>
    <w:rsid w:val="0097047C"/>
    <w:rsid w:val="009772EF"/>
    <w:rsid w:val="00982571"/>
    <w:rsid w:val="00991FD6"/>
    <w:rsid w:val="0099585C"/>
    <w:rsid w:val="009F0979"/>
    <w:rsid w:val="00A101A6"/>
    <w:rsid w:val="00A25D98"/>
    <w:rsid w:val="00A4176E"/>
    <w:rsid w:val="00A538BD"/>
    <w:rsid w:val="00A912EB"/>
    <w:rsid w:val="00AB1706"/>
    <w:rsid w:val="00AC1928"/>
    <w:rsid w:val="00B019D6"/>
    <w:rsid w:val="00B113C4"/>
    <w:rsid w:val="00B343D6"/>
    <w:rsid w:val="00B41149"/>
    <w:rsid w:val="00B429A8"/>
    <w:rsid w:val="00B51807"/>
    <w:rsid w:val="00B738F3"/>
    <w:rsid w:val="00BA53FF"/>
    <w:rsid w:val="00BB6B0F"/>
    <w:rsid w:val="00BC4A52"/>
    <w:rsid w:val="00BE00B3"/>
    <w:rsid w:val="00BE05D3"/>
    <w:rsid w:val="00BE1CD4"/>
    <w:rsid w:val="00BE4118"/>
    <w:rsid w:val="00C2693E"/>
    <w:rsid w:val="00C301AD"/>
    <w:rsid w:val="00C43594"/>
    <w:rsid w:val="00C5209D"/>
    <w:rsid w:val="00C72AD2"/>
    <w:rsid w:val="00C81133"/>
    <w:rsid w:val="00CB341B"/>
    <w:rsid w:val="00CC671A"/>
    <w:rsid w:val="00CD0813"/>
    <w:rsid w:val="00CE7032"/>
    <w:rsid w:val="00D17AD2"/>
    <w:rsid w:val="00D4667D"/>
    <w:rsid w:val="00D74F6A"/>
    <w:rsid w:val="00D75CAC"/>
    <w:rsid w:val="00DB4BEA"/>
    <w:rsid w:val="00DD6013"/>
    <w:rsid w:val="00DE6668"/>
    <w:rsid w:val="00DF10D2"/>
    <w:rsid w:val="00E10FC7"/>
    <w:rsid w:val="00E317B8"/>
    <w:rsid w:val="00E42090"/>
    <w:rsid w:val="00E43D05"/>
    <w:rsid w:val="00E638F1"/>
    <w:rsid w:val="00E802D6"/>
    <w:rsid w:val="00E906DA"/>
    <w:rsid w:val="00EB7118"/>
    <w:rsid w:val="00ED1EC9"/>
    <w:rsid w:val="00EF1947"/>
    <w:rsid w:val="00F01F3C"/>
    <w:rsid w:val="00F0682A"/>
    <w:rsid w:val="00F07BE5"/>
    <w:rsid w:val="00F10318"/>
    <w:rsid w:val="00F26D30"/>
    <w:rsid w:val="00F451F0"/>
    <w:rsid w:val="00F805B9"/>
    <w:rsid w:val="00F9270A"/>
    <w:rsid w:val="00F953EB"/>
    <w:rsid w:val="00F95E51"/>
    <w:rsid w:val="00FA144F"/>
    <w:rsid w:val="00FA777F"/>
    <w:rsid w:val="00FD08DE"/>
    <w:rsid w:val="00FD552B"/>
    <w:rsid w:val="6872D7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6DC5"/>
  <w15:chartTrackingRefBased/>
  <w15:docId w15:val="{E0EBA915-C4F4-44F7-8D42-FD75A985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D4667D"/>
    <w:pPr>
      <w:spacing w:after="0" w:line="240" w:lineRule="auto"/>
    </w:pPr>
    <w:rPr>
      <w:rFonts w:ascii="Arial" w:eastAsia="Arial" w:hAnsi="Arial" w:cs="Arial"/>
      <w:kern w:val="0"/>
      <w:sz w:val="20"/>
      <w:szCs w:val="20"/>
      <w:lang w:val="fr" w:eastAsia="fr-FR"/>
      <w14:ligatures w14:val="none"/>
    </w:rPr>
  </w:style>
  <w:style w:type="character" w:customStyle="1" w:styleId="CommentaireCar">
    <w:name w:val="Commentaire Car"/>
    <w:basedOn w:val="Policepardfaut"/>
    <w:link w:val="Commentaire"/>
    <w:uiPriority w:val="99"/>
    <w:rsid w:val="00D4667D"/>
    <w:rPr>
      <w:rFonts w:ascii="Arial" w:eastAsia="Arial" w:hAnsi="Arial" w:cs="Arial"/>
      <w:kern w:val="0"/>
      <w:sz w:val="20"/>
      <w:szCs w:val="20"/>
      <w:lang w:val="fr" w:eastAsia="fr-FR"/>
      <w14:ligatures w14:val="none"/>
    </w:rPr>
  </w:style>
  <w:style w:type="character" w:styleId="Marquedecommentaire">
    <w:name w:val="annotation reference"/>
    <w:basedOn w:val="Policepardfaut"/>
    <w:uiPriority w:val="99"/>
    <w:semiHidden/>
    <w:unhideWhenUsed/>
    <w:rsid w:val="00D4667D"/>
    <w:rPr>
      <w:sz w:val="16"/>
      <w:szCs w:val="16"/>
    </w:rPr>
  </w:style>
  <w:style w:type="character" w:styleId="Lienhypertexte">
    <w:name w:val="Hyperlink"/>
    <w:basedOn w:val="Policepardfaut"/>
    <w:uiPriority w:val="99"/>
    <w:unhideWhenUsed/>
    <w:rsid w:val="004B4464"/>
    <w:rPr>
      <w:color w:val="467886" w:themeColor="hyperlink"/>
      <w:u w:val="single"/>
    </w:rPr>
  </w:style>
  <w:style w:type="character" w:customStyle="1" w:styleId="Mentionnonrsolue1">
    <w:name w:val="Mention non résolue1"/>
    <w:basedOn w:val="Policepardfaut"/>
    <w:uiPriority w:val="99"/>
    <w:semiHidden/>
    <w:unhideWhenUsed/>
    <w:rsid w:val="004B4464"/>
    <w:rPr>
      <w:color w:val="605E5C"/>
      <w:shd w:val="clear" w:color="auto" w:fill="E1DFDD"/>
    </w:rPr>
  </w:style>
  <w:style w:type="character" w:styleId="Lienhypertextesuivivisit">
    <w:name w:val="FollowedHyperlink"/>
    <w:basedOn w:val="Policepardfaut"/>
    <w:uiPriority w:val="99"/>
    <w:semiHidden/>
    <w:unhideWhenUsed/>
    <w:rsid w:val="00B41149"/>
    <w:rPr>
      <w:color w:val="96607D" w:themeColor="followedHyperlink"/>
      <w:u w:val="single"/>
    </w:rPr>
  </w:style>
  <w:style w:type="character" w:customStyle="1" w:styleId="cf01">
    <w:name w:val="cf01"/>
    <w:basedOn w:val="Policepardfaut"/>
    <w:rsid w:val="00347F11"/>
    <w:rPr>
      <w:rFonts w:ascii="Segoe UI" w:hAnsi="Segoe UI" w:cs="Segoe UI" w:hint="default"/>
      <w:sz w:val="18"/>
      <w:szCs w:val="18"/>
    </w:rPr>
  </w:style>
  <w:style w:type="paragraph" w:styleId="En-tte">
    <w:name w:val="header"/>
    <w:basedOn w:val="Normal"/>
    <w:link w:val="En-tteCar"/>
    <w:uiPriority w:val="99"/>
    <w:unhideWhenUsed/>
    <w:rsid w:val="00347F11"/>
    <w:pPr>
      <w:tabs>
        <w:tab w:val="center" w:pos="4536"/>
        <w:tab w:val="right" w:pos="9072"/>
      </w:tabs>
      <w:spacing w:after="0" w:line="240" w:lineRule="auto"/>
    </w:pPr>
  </w:style>
  <w:style w:type="character" w:customStyle="1" w:styleId="En-tteCar">
    <w:name w:val="En-tête Car"/>
    <w:basedOn w:val="Policepardfaut"/>
    <w:link w:val="En-tte"/>
    <w:uiPriority w:val="99"/>
    <w:rsid w:val="00347F11"/>
  </w:style>
  <w:style w:type="paragraph" w:styleId="Pieddepage">
    <w:name w:val="footer"/>
    <w:basedOn w:val="Normal"/>
    <w:link w:val="PieddepageCar"/>
    <w:uiPriority w:val="99"/>
    <w:unhideWhenUsed/>
    <w:rsid w:val="00347F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F11"/>
  </w:style>
  <w:style w:type="paragraph" w:customStyle="1" w:styleId="Default">
    <w:name w:val="Default"/>
    <w:rsid w:val="006F2CE2"/>
    <w:pPr>
      <w:autoSpaceDE w:val="0"/>
      <w:autoSpaceDN w:val="0"/>
      <w:adjustRightInd w:val="0"/>
      <w:spacing w:after="0" w:line="240" w:lineRule="auto"/>
    </w:pPr>
    <w:rPr>
      <w:rFonts w:ascii="Aptos" w:hAnsi="Aptos" w:cs="Aptos"/>
      <w:color w:val="000000"/>
      <w:kern w:val="0"/>
      <w:sz w:val="24"/>
      <w:szCs w:val="24"/>
    </w:rPr>
  </w:style>
  <w:style w:type="paragraph" w:styleId="Objetducommentaire">
    <w:name w:val="annotation subject"/>
    <w:basedOn w:val="Commentaire"/>
    <w:next w:val="Commentaire"/>
    <w:link w:val="ObjetducommentaireCar"/>
    <w:uiPriority w:val="99"/>
    <w:semiHidden/>
    <w:unhideWhenUsed/>
    <w:rsid w:val="00003A43"/>
    <w:pPr>
      <w:spacing w:after="160"/>
    </w:pPr>
    <w:rPr>
      <w:rFonts w:asciiTheme="minorHAnsi" w:eastAsiaTheme="minorHAnsi" w:hAnsiTheme="minorHAnsi" w:cstheme="minorBidi"/>
      <w:b/>
      <w:bCs/>
      <w:kern w:val="2"/>
      <w:lang w:val="fr-FR" w:eastAsia="en-US"/>
      <w14:ligatures w14:val="standardContextual"/>
    </w:rPr>
  </w:style>
  <w:style w:type="character" w:customStyle="1" w:styleId="ObjetducommentaireCar">
    <w:name w:val="Objet du commentaire Car"/>
    <w:basedOn w:val="CommentaireCar"/>
    <w:link w:val="Objetducommentaire"/>
    <w:uiPriority w:val="99"/>
    <w:semiHidden/>
    <w:rsid w:val="00003A43"/>
    <w:rPr>
      <w:rFonts w:ascii="Arial" w:eastAsia="Arial" w:hAnsi="Arial" w:cs="Arial"/>
      <w:b/>
      <w:bCs/>
      <w:kern w:val="0"/>
      <w:sz w:val="20"/>
      <w:szCs w:val="20"/>
      <w:lang w:val="fr" w:eastAsia="fr-FR"/>
      <w14:ligatures w14:val="none"/>
    </w:rPr>
  </w:style>
  <w:style w:type="paragraph" w:styleId="Textedebulles">
    <w:name w:val="Balloon Text"/>
    <w:basedOn w:val="Normal"/>
    <w:link w:val="TextedebullesCar"/>
    <w:uiPriority w:val="99"/>
    <w:semiHidden/>
    <w:unhideWhenUsed/>
    <w:rsid w:val="00933B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3B85"/>
    <w:rPr>
      <w:rFonts w:ascii="Segoe UI" w:hAnsi="Segoe UI" w:cs="Segoe UI"/>
      <w:sz w:val="18"/>
      <w:szCs w:val="18"/>
    </w:rPr>
  </w:style>
  <w:style w:type="paragraph" w:styleId="Rvision">
    <w:name w:val="Revision"/>
    <w:hidden/>
    <w:uiPriority w:val="99"/>
    <w:semiHidden/>
    <w:rsid w:val="00F26D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3636">
      <w:bodyDiv w:val="1"/>
      <w:marLeft w:val="0"/>
      <w:marRight w:val="0"/>
      <w:marTop w:val="0"/>
      <w:marBottom w:val="0"/>
      <w:divBdr>
        <w:top w:val="none" w:sz="0" w:space="0" w:color="auto"/>
        <w:left w:val="none" w:sz="0" w:space="0" w:color="auto"/>
        <w:bottom w:val="none" w:sz="0" w:space="0" w:color="auto"/>
        <w:right w:val="none" w:sz="0" w:space="0" w:color="auto"/>
      </w:divBdr>
    </w:div>
    <w:div w:id="925725293">
      <w:bodyDiv w:val="1"/>
      <w:marLeft w:val="0"/>
      <w:marRight w:val="0"/>
      <w:marTop w:val="0"/>
      <w:marBottom w:val="0"/>
      <w:divBdr>
        <w:top w:val="none" w:sz="0" w:space="0" w:color="auto"/>
        <w:left w:val="none" w:sz="0" w:space="0" w:color="auto"/>
        <w:bottom w:val="none" w:sz="0" w:space="0" w:color="auto"/>
        <w:right w:val="none" w:sz="0" w:space="0" w:color="auto"/>
      </w:divBdr>
    </w:div>
    <w:div w:id="113648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tsap.asso.fr/articles/partage-des-ressources-florales-entre-abeil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723</Words>
  <Characters>3978</Characters>
  <Application>Microsoft Office Word</Application>
  <DocSecurity>0</DocSecurity>
  <Lines>33</Lines>
  <Paragraphs>9</Paragraphs>
  <ScaleCrop>false</ScaleCrop>
  <Company/>
  <LinksUpToDate>false</LinksUpToDate>
  <CharactersWithSpaces>4692</CharactersWithSpaces>
  <SharedDoc>false</SharedDoc>
  <HLinks>
    <vt:vector size="6" baseType="variant">
      <vt:variant>
        <vt:i4>4587594</vt:i4>
      </vt:variant>
      <vt:variant>
        <vt:i4>0</vt:i4>
      </vt:variant>
      <vt:variant>
        <vt:i4>0</vt:i4>
      </vt:variant>
      <vt:variant>
        <vt:i4>5</vt:i4>
      </vt:variant>
      <vt:variant>
        <vt:lpwstr>https://itsap.asso.fr/articles/partage-des-ressources-florales-entre-abeilles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Tonnelier ADAGE</dc:creator>
  <cp:keywords/>
  <dc:description/>
  <cp:lastModifiedBy>Mélanie CROMBECQUE</cp:lastModifiedBy>
  <cp:revision>60</cp:revision>
  <dcterms:created xsi:type="dcterms:W3CDTF">2024-08-08T17:38:00Z</dcterms:created>
  <dcterms:modified xsi:type="dcterms:W3CDTF">2024-10-04T13:48:00Z</dcterms:modified>
</cp:coreProperties>
</file>